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5508"/>
      </w:tblGrid>
      <w:tr w:rsidR="004A6901" w:rsidTr="00556AB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jc w:val="center"/>
            </w:pPr>
            <w:r>
              <w:rPr>
                <w:b/>
                <w:bCs/>
              </w:rPr>
              <w:t>BỘ TÀI CHÍNH</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A6901" w:rsidTr="00556AB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jc w:val="center"/>
            </w:pPr>
            <w:r>
              <w:rPr>
                <w:lang w:val="vi-VN"/>
              </w:rPr>
              <w:t xml:space="preserve">Số: </w:t>
            </w:r>
            <w:r>
              <w:t>337/2016/TT-BTC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jc w:val="right"/>
            </w:pPr>
            <w:r>
              <w:rPr>
                <w:i/>
                <w:iCs/>
                <w:lang w:val="vi-VN"/>
              </w:rPr>
              <w:t xml:space="preserve">Hà Nội, ngày </w:t>
            </w:r>
            <w:r>
              <w:rPr>
                <w:i/>
                <w:iCs/>
              </w:rPr>
              <w:t>28</w:t>
            </w:r>
            <w:r>
              <w:rPr>
                <w:i/>
                <w:iCs/>
                <w:lang w:val="vi-VN"/>
              </w:rPr>
              <w:t xml:space="preserve"> tháng </w:t>
            </w:r>
            <w:r>
              <w:rPr>
                <w:i/>
                <w:iCs/>
              </w:rPr>
              <w:t>12</w:t>
            </w:r>
            <w:r>
              <w:rPr>
                <w:i/>
                <w:iCs/>
                <w:lang w:val="vi-VN"/>
              </w:rPr>
              <w:t xml:space="preserve"> năm 201</w:t>
            </w:r>
            <w:r>
              <w:rPr>
                <w:i/>
                <w:iCs/>
              </w:rPr>
              <w:t>6</w:t>
            </w:r>
          </w:p>
        </w:tc>
      </w:tr>
    </w:tbl>
    <w:p w:rsidR="004A6901" w:rsidRDefault="004A6901" w:rsidP="004A6901">
      <w:pPr>
        <w:spacing w:before="120" w:after="280" w:afterAutospacing="1"/>
      </w:pPr>
      <w:r>
        <w:t> </w:t>
      </w:r>
    </w:p>
    <w:p w:rsidR="004A6901" w:rsidRDefault="004A6901" w:rsidP="004A6901">
      <w:pPr>
        <w:spacing w:before="120" w:after="280" w:afterAutospacing="1"/>
        <w:jc w:val="center"/>
      </w:pPr>
      <w:r>
        <w:rPr>
          <w:b/>
          <w:bCs/>
          <w:lang w:val="vi-VN"/>
        </w:rPr>
        <w:t>THÔNG TƯ</w:t>
      </w:r>
    </w:p>
    <w:p w:rsidR="004A6901" w:rsidRDefault="004A6901" w:rsidP="004A6901">
      <w:pPr>
        <w:spacing w:before="120" w:after="280" w:afterAutospacing="1"/>
        <w:jc w:val="center"/>
      </w:pPr>
      <w:r>
        <w:rPr>
          <w:lang w:val="vi-VN"/>
        </w:rPr>
        <w:t>QUY ĐỊNH VỀ LẬP DỰ TOÁN, QUẢN LÝ, SỬ DỤNG VÀ QUYẾT TOÁN KINH PHÍ BẢO ĐẢM HOẠT ĐỘNG GIÁM SÁT, PHẢN BIỆN XÃ HỘI CỦA ỦY BAN MẶT TRẬN TỔ QUỐC VIỆT NAM VÀ CÁC TỔ CHỨC CHÍNH TRỊ - XÃ HỘI</w:t>
      </w:r>
    </w:p>
    <w:p w:rsidR="004A6901" w:rsidRDefault="004A6901" w:rsidP="004A6901">
      <w:pPr>
        <w:spacing w:before="120" w:after="280" w:afterAutospacing="1"/>
      </w:pPr>
      <w:r>
        <w:rPr>
          <w:i/>
          <w:iCs/>
          <w:lang w:val="vi-VN"/>
        </w:rPr>
        <w:t xml:space="preserve">Căn cứ </w:t>
      </w:r>
      <w:hyperlink r:id="rId4" w:history="1">
        <w:r w:rsidRPr="0050416F">
          <w:rPr>
            <w:rStyle w:val="Hyperlink"/>
            <w:i/>
            <w:iCs/>
            <w:lang w:val="vi-VN"/>
          </w:rPr>
          <w:t>Luật Mặt trận Tổ quốc Việt Nam năm 2015</w:t>
        </w:r>
      </w:hyperlink>
      <w:r>
        <w:rPr>
          <w:i/>
          <w:iCs/>
          <w:lang w:val="vi-VN"/>
        </w:rPr>
        <w:t>;</w:t>
      </w:r>
    </w:p>
    <w:p w:rsidR="004A6901" w:rsidRDefault="004A6901" w:rsidP="004A6901">
      <w:pPr>
        <w:spacing w:before="120" w:after="280" w:afterAutospacing="1"/>
      </w:pPr>
      <w:r>
        <w:rPr>
          <w:i/>
          <w:iCs/>
          <w:lang w:val="vi-VN"/>
        </w:rPr>
        <w:t xml:space="preserve">Căn cứ </w:t>
      </w:r>
      <w:hyperlink r:id="rId5" w:history="1">
        <w:r w:rsidRPr="0050416F">
          <w:rPr>
            <w:rStyle w:val="Hyperlink"/>
            <w:i/>
            <w:iCs/>
            <w:lang w:val="vi-VN"/>
          </w:rPr>
          <w:t>Luật Ngân sách nhà nước năm 2015</w:t>
        </w:r>
      </w:hyperlink>
      <w:r>
        <w:rPr>
          <w:i/>
          <w:iCs/>
          <w:lang w:val="vi-VN"/>
        </w:rPr>
        <w:t>;</w:t>
      </w:r>
    </w:p>
    <w:p w:rsidR="004A6901" w:rsidRDefault="004A6901" w:rsidP="004A6901">
      <w:pPr>
        <w:spacing w:before="120" w:after="280" w:afterAutospacing="1"/>
      </w:pPr>
      <w:r>
        <w:rPr>
          <w:i/>
          <w:iCs/>
          <w:lang w:val="vi-VN"/>
        </w:rPr>
        <w:t>Căn cứ Nghị định số 215/2013/NĐ-CP ngày 23 tháng 12 năm 2013 của Chính phủ quy định chức năng, nhiệm vụ, quyền hạn và cơ cấu tổ chức của Bộ Tài chính;</w:t>
      </w:r>
    </w:p>
    <w:p w:rsidR="004A6901" w:rsidRDefault="004A6901" w:rsidP="004A6901">
      <w:pPr>
        <w:spacing w:before="120" w:after="280" w:afterAutospacing="1"/>
      </w:pPr>
      <w:r>
        <w:rPr>
          <w:i/>
          <w:iCs/>
          <w:lang w:val="vi-VN"/>
        </w:rPr>
        <w:t>Theo đề nghị của Vụ trưởng Vụ Tài chính Hành ch</w:t>
      </w:r>
      <w:r>
        <w:rPr>
          <w:i/>
          <w:iCs/>
        </w:rPr>
        <w:t>í</w:t>
      </w:r>
      <w:r>
        <w:rPr>
          <w:i/>
          <w:iCs/>
          <w:lang w:val="vi-VN"/>
        </w:rPr>
        <w:t>nh sự nghiệp;</w:t>
      </w:r>
    </w:p>
    <w:p w:rsidR="004A6901" w:rsidRDefault="004A6901" w:rsidP="004A6901">
      <w:pPr>
        <w:spacing w:before="120" w:after="280" w:afterAutospacing="1"/>
      </w:pPr>
      <w:r>
        <w:rPr>
          <w:i/>
          <w:iCs/>
          <w:lang w:val="vi-VN"/>
        </w:rPr>
        <w:t>Bộ trưởng Bộ Tài chính ban hành Thông tư quy định về lập dự toán, quản lý, sử dụng và quyết toán kinh phí bảo đảm cho hoạt động giám sát, phản biện xã hội của Ủy ban Mặt trận Tổ quốc Việt Nam và các tổ chức chính trị - xã hội.</w:t>
      </w:r>
    </w:p>
    <w:p w:rsidR="004A6901" w:rsidRDefault="004A6901" w:rsidP="004A6901">
      <w:pPr>
        <w:spacing w:before="120" w:after="280" w:afterAutospacing="1"/>
      </w:pPr>
      <w:r>
        <w:rPr>
          <w:b/>
          <w:bCs/>
          <w:lang w:val="vi-VN"/>
        </w:rPr>
        <w:t>Điều 1. Phạm vi điều chỉnh</w:t>
      </w:r>
    </w:p>
    <w:p w:rsidR="004A6901" w:rsidRDefault="004A6901" w:rsidP="004A6901">
      <w:pPr>
        <w:spacing w:before="120" w:after="280" w:afterAutospacing="1"/>
      </w:pPr>
      <w:r>
        <w:rPr>
          <w:lang w:val="vi-VN"/>
        </w:rPr>
        <w:t>Thông tư này quy định việc lập dự toán, quản lý, sử dụng và quyết toán kinh phí bảo đảm hoạt động giám sát, phản biện xã hội của Ủy ban Mặt trận Tổ quốc Việt Nam và các tổ chức chính trị - xã hội.</w:t>
      </w:r>
    </w:p>
    <w:p w:rsidR="004A6901" w:rsidRDefault="004A6901" w:rsidP="004A6901">
      <w:pPr>
        <w:spacing w:before="120" w:after="280" w:afterAutospacing="1"/>
      </w:pPr>
      <w:r>
        <w:rPr>
          <w:b/>
          <w:bCs/>
          <w:lang w:val="vi-VN"/>
        </w:rPr>
        <w:t>Điều 2. Đối tượng áp dụng</w:t>
      </w:r>
    </w:p>
    <w:p w:rsidR="004A6901" w:rsidRDefault="004A6901" w:rsidP="004A6901">
      <w:pPr>
        <w:spacing w:before="120" w:after="280" w:afterAutospacing="1"/>
      </w:pPr>
      <w:r>
        <w:rPr>
          <w:lang w:val="vi-VN"/>
        </w:rPr>
        <w:t>Ủy ban Mặt trận Tổ quốc Việt Nam, các tổ chức chính trị - xã hội ở Trung ương và địa phương.</w:t>
      </w:r>
    </w:p>
    <w:p w:rsidR="004A6901" w:rsidRDefault="004A6901" w:rsidP="004A6901">
      <w:pPr>
        <w:spacing w:before="120" w:after="280" w:afterAutospacing="1"/>
      </w:pPr>
      <w:r>
        <w:rPr>
          <w:b/>
          <w:bCs/>
          <w:lang w:val="vi-VN"/>
        </w:rPr>
        <w:t>Điều 3. Nguồn k</w:t>
      </w:r>
      <w:r>
        <w:rPr>
          <w:b/>
          <w:bCs/>
        </w:rPr>
        <w:t>i</w:t>
      </w:r>
      <w:r>
        <w:rPr>
          <w:b/>
          <w:bCs/>
          <w:lang w:val="vi-VN"/>
        </w:rPr>
        <w:t>nh phí</w:t>
      </w:r>
    </w:p>
    <w:p w:rsidR="004A6901" w:rsidRDefault="004A6901" w:rsidP="004A6901">
      <w:pPr>
        <w:spacing w:before="120" w:after="280" w:afterAutospacing="1"/>
      </w:pPr>
      <w:r>
        <w:rPr>
          <w:lang w:val="vi-VN"/>
        </w:rPr>
        <w:t>1. Nguồn kinh phí phục vụ hoạt động giám sát, phản biện xã hội của Ủy ban Mặt trận Tổ quốc Việt Nam và tổ chức chính trị - xã hội các cấp do ngân sách nhà nước bảo đảm, được bố trí theo phân cấp quản lý ngân sách nhà nước hiện hành, cụ thể:</w:t>
      </w:r>
    </w:p>
    <w:p w:rsidR="004A6901" w:rsidRDefault="004A6901" w:rsidP="004A6901">
      <w:pPr>
        <w:spacing w:before="120" w:after="280" w:afterAutospacing="1"/>
      </w:pPr>
      <w:r>
        <w:rPr>
          <w:lang w:val="vi-VN"/>
        </w:rPr>
        <w:t>a) Kinh phí bảo đảm hoạt động giám sát, phản biện xã hội của Ủy ban Trung ương Mặt trận Tổ quốc Việt Nam và các tổ chức chính trị - xã hội ở Trung ương do ngân sách Trung ương bảo đảm, được bố trí trong dự toán ngân sách hàng năm của Ủy ban Trung ương Mặt trận Tổ quốc Việt Nam và các tổ chức chính trị - xã hội ở Trung ương.</w:t>
      </w:r>
    </w:p>
    <w:p w:rsidR="004A6901" w:rsidRDefault="004A6901" w:rsidP="004A6901">
      <w:pPr>
        <w:spacing w:before="120" w:after="280" w:afterAutospacing="1"/>
      </w:pPr>
      <w:r>
        <w:rPr>
          <w:lang w:val="vi-VN"/>
        </w:rPr>
        <w:t>b) Kinh phí bảo đảm hoạt động giám sát, phản biện xã hội của Ủy ban Mặt trận Tổ quốc Việt Nam và các tổ chức chính trị - xã hội ở địa phương do ngân sách địa phương bảo đảm, được bố trí trong dự toán ngân sách hàng năm của Ủy ban Mặt trận Tổ quốc và các tổ chức chính trị - xã hội ở địa phương.</w:t>
      </w:r>
    </w:p>
    <w:p w:rsidR="004A6901" w:rsidRDefault="004A6901" w:rsidP="004A6901">
      <w:pPr>
        <w:spacing w:before="120" w:after="280" w:afterAutospacing="1"/>
      </w:pPr>
      <w:r>
        <w:rPr>
          <w:lang w:val="vi-VN"/>
        </w:rPr>
        <w:t>2. Các nguồn kinh phí hợp pháp khác.</w:t>
      </w:r>
    </w:p>
    <w:p w:rsidR="004A6901" w:rsidRDefault="004A6901" w:rsidP="004A6901">
      <w:pPr>
        <w:spacing w:before="120" w:after="280" w:afterAutospacing="1"/>
      </w:pPr>
      <w:r>
        <w:rPr>
          <w:b/>
          <w:bCs/>
          <w:lang w:val="vi-VN"/>
        </w:rPr>
        <w:lastRenderedPageBreak/>
        <w:t>Điều 4. Nội dung ch</w:t>
      </w:r>
      <w:r>
        <w:rPr>
          <w:b/>
          <w:bCs/>
        </w:rPr>
        <w:t xml:space="preserve">i </w:t>
      </w:r>
      <w:r>
        <w:rPr>
          <w:b/>
          <w:bCs/>
          <w:lang w:val="vi-VN"/>
        </w:rPr>
        <w:t>cho hoạt động giám sát, phản biện xã hội</w:t>
      </w:r>
    </w:p>
    <w:p w:rsidR="004A6901" w:rsidRDefault="004A6901" w:rsidP="004A6901">
      <w:pPr>
        <w:spacing w:before="120" w:after="280" w:afterAutospacing="1"/>
      </w:pPr>
      <w:r>
        <w:rPr>
          <w:lang w:val="vi-VN"/>
        </w:rPr>
        <w:t>1. Chi công tác phí cho các đoàn công tác chỉ đạo, kiểm tra, giám sát, khảo sát những vấn đề có liên quan phục vụ hoạt động giám sát, phản biện xã hội.</w:t>
      </w:r>
    </w:p>
    <w:p w:rsidR="004A6901" w:rsidRDefault="004A6901" w:rsidP="004A6901">
      <w:pPr>
        <w:spacing w:before="120" w:after="280" w:afterAutospacing="1"/>
      </w:pPr>
      <w:r>
        <w:rPr>
          <w:lang w:val="vi-VN"/>
        </w:rPr>
        <w:t>2. Chi tổ chức các Hội nghị triển khai, sơ kết, tổng kết, tổ chức tọa đàm, hội thảo về công tác giám sát, phản biện xã hội.</w:t>
      </w:r>
    </w:p>
    <w:p w:rsidR="004A6901" w:rsidRDefault="004A6901" w:rsidP="004A6901">
      <w:pPr>
        <w:spacing w:before="120" w:after="280" w:afterAutospacing="1"/>
      </w:pPr>
      <w:r>
        <w:rPr>
          <w:lang w:val="vi-VN"/>
        </w:rPr>
        <w:t>3. Chi thuê chuyên gia thẩm định, chuyên gia tư vấn độc lập trong trường hợp nội dung giám sát, phản biện xã hội thuộc lĩnh vực chuyên môn phức tạp.</w:t>
      </w:r>
    </w:p>
    <w:p w:rsidR="004A6901" w:rsidRDefault="004A6901" w:rsidP="004A6901">
      <w:pPr>
        <w:spacing w:before="120" w:after="280" w:afterAutospacing="1"/>
      </w:pPr>
      <w:r>
        <w:rPr>
          <w:lang w:val="vi-VN"/>
        </w:rPr>
        <w:t>4. Chi bồi dưỡng thành viên tham gia đoàn giám sát, phản biện xã hội.</w:t>
      </w:r>
    </w:p>
    <w:p w:rsidR="004A6901" w:rsidRDefault="004A6901" w:rsidP="004A6901">
      <w:pPr>
        <w:spacing w:before="120" w:after="280" w:afterAutospacing="1"/>
      </w:pPr>
      <w:r>
        <w:rPr>
          <w:lang w:val="vi-VN"/>
        </w:rPr>
        <w:t>5. Chi xây dựng báo cáo kết quả giám sát, phản biện xã hội, văn bản kiến nghị.</w:t>
      </w:r>
    </w:p>
    <w:p w:rsidR="004A6901" w:rsidRDefault="004A6901" w:rsidP="004A6901">
      <w:pPr>
        <w:spacing w:before="120" w:after="280" w:afterAutospacing="1"/>
      </w:pPr>
      <w:r>
        <w:rPr>
          <w:lang w:val="vi-VN"/>
        </w:rPr>
        <w:t>6. Các khoản chi khác phục vụ trực tiếp cho hoạt động giám sát, phản biện xã hội.</w:t>
      </w:r>
    </w:p>
    <w:p w:rsidR="004A6901" w:rsidRDefault="004A6901" w:rsidP="004A6901">
      <w:pPr>
        <w:spacing w:before="120" w:after="280" w:afterAutospacing="1"/>
      </w:pPr>
      <w:r>
        <w:rPr>
          <w:b/>
          <w:bCs/>
          <w:lang w:val="vi-VN"/>
        </w:rPr>
        <w:t>Điều 5. Mức chi</w:t>
      </w:r>
    </w:p>
    <w:p w:rsidR="004A6901" w:rsidRDefault="004A6901" w:rsidP="004A6901">
      <w:pPr>
        <w:spacing w:before="120" w:after="280" w:afterAutospacing="1"/>
      </w:pPr>
      <w:r>
        <w:rPr>
          <w:lang w:val="vi-VN"/>
        </w:rPr>
        <w:t>Mức chi bảo đảm hoạt động giám sát, phản biện xã hội của Ủy ban Mặt trận Tổ quốc Việt Nam và các tổ chức chính trị - xã hội thực hiện theo chế độ chi tiêu tài chính hiện hành của nhà nước. Thông tư này quy định cụ thể một số mức chi như sau:</w:t>
      </w:r>
    </w:p>
    <w:p w:rsidR="004A6901" w:rsidRDefault="004A6901" w:rsidP="004A6901">
      <w:pPr>
        <w:spacing w:before="120" w:after="280" w:afterAutospacing="1"/>
      </w:pPr>
      <w:r>
        <w:rPr>
          <w:lang w:val="vi-VN"/>
        </w:rPr>
        <w:t>1. Chi công tác phí cho các đoàn công tác chỉ đạo, kiểm tra, giám sát, khảo sát: Thanh toán công tác phí, tiền thuê chỗ ở nơi công tác, phương tiện phục vụ công tác giám sát, phản biện xã hội, thực hiện theo quy định tại Thông tư số 97/2010/TT-BTC ngày 06/7/2010 của Bộ Tài chính quy định chế độ công tác phí, chế độ chi tổ chức các cuộc hội nghị đối với các cơ quan nhà nước và đơn vị sự nghiệp công lập.</w:t>
      </w:r>
    </w:p>
    <w:p w:rsidR="004A6901" w:rsidRDefault="004A6901" w:rsidP="004A6901">
      <w:pPr>
        <w:spacing w:before="120" w:after="280" w:afterAutospacing="1"/>
      </w:pPr>
      <w:r>
        <w:rPr>
          <w:lang w:val="vi-VN"/>
        </w:rPr>
        <w:t>2. Chi tổ chức hội nghị:</w:t>
      </w:r>
    </w:p>
    <w:p w:rsidR="004A6901" w:rsidRDefault="004A6901" w:rsidP="004A6901">
      <w:pPr>
        <w:spacing w:before="120" w:after="280" w:afterAutospacing="1"/>
      </w:pPr>
      <w:r>
        <w:rPr>
          <w:lang w:val="vi-VN"/>
        </w:rPr>
        <w:t>a) Thực hiện theo quy định tại Thông tư số 97/2010/TT-BTC ngày 06/7/2010 của Bộ Tài chính quy định chế độ công tác phí, chế độ chi tổ chức các cuộc hội nghị đối với các cơ quan nhà nước và đơn vị sự nghiệp công lập;</w:t>
      </w:r>
    </w:p>
    <w:p w:rsidR="004A6901" w:rsidRDefault="004A6901" w:rsidP="004A6901">
      <w:pPr>
        <w:spacing w:before="120" w:after="280" w:afterAutospacing="1"/>
      </w:pPr>
      <w:r>
        <w:rPr>
          <w:lang w:val="vi-VN"/>
        </w:rPr>
        <w:t>b) Đối với hội nghị đối thoại, tọa đàm, hội thảo, ngoài các khoản chi theo quy định tại Thông tư số 97/2010/TT-BTC được chi một số khoản sau:</w:t>
      </w:r>
    </w:p>
    <w:p w:rsidR="004A6901" w:rsidRDefault="004A6901" w:rsidP="004A6901">
      <w:pPr>
        <w:spacing w:before="120" w:after="280" w:afterAutospacing="1"/>
      </w:pPr>
      <w:r>
        <w:rPr>
          <w:lang w:val="vi-VN"/>
        </w:rPr>
        <w:t>- Chủ trì cuộc họp: 150.000 đồng/người/cuộc họp.</w:t>
      </w:r>
    </w:p>
    <w:p w:rsidR="004A6901" w:rsidRDefault="004A6901" w:rsidP="004A6901">
      <w:pPr>
        <w:spacing w:before="120" w:after="280" w:afterAutospacing="1"/>
      </w:pPr>
      <w:r>
        <w:rPr>
          <w:lang w:val="vi-VN"/>
        </w:rPr>
        <w:t>- Thành viên tham dự cuộc họp: 100.000 đồng/người/cuộc họp.</w:t>
      </w:r>
    </w:p>
    <w:p w:rsidR="004A6901" w:rsidRDefault="004A6901" w:rsidP="004A6901">
      <w:pPr>
        <w:spacing w:before="120" w:after="280" w:afterAutospacing="1"/>
      </w:pPr>
      <w:r>
        <w:rPr>
          <w:lang w:val="vi-VN"/>
        </w:rPr>
        <w:t>- Chi báo cáo tham luận theo đơn đặt hàng: 500.000 đồng/bài viết.</w:t>
      </w:r>
    </w:p>
    <w:p w:rsidR="004A6901" w:rsidRDefault="004A6901" w:rsidP="004A6901">
      <w:pPr>
        <w:spacing w:before="120" w:after="280" w:afterAutospacing="1"/>
      </w:pPr>
      <w:r>
        <w:rPr>
          <w:lang w:val="vi-VN"/>
        </w:rPr>
        <w:t>3. Chi thuê chuyên gia thẩm định, chuyên gia tư vấn độc lập:</w:t>
      </w:r>
    </w:p>
    <w:p w:rsidR="004A6901" w:rsidRDefault="004A6901" w:rsidP="004A6901">
      <w:pPr>
        <w:spacing w:before="120" w:after="280" w:afterAutospacing="1"/>
      </w:pPr>
      <w:r>
        <w:rPr>
          <w:lang w:val="vi-VN"/>
        </w:rPr>
        <w:t>Trường hợp thực hiện hoạt động giám sát, phản biện xã hội có nội dung phức tạp, thuộc lĩnh vực chuyên môn sâu, cần lấy ý kiến tư vấn, phản biện của các chuyên gia độc lập, Ủy ban Trung ương Mặt trận Tổ quốc Việt Nam và các tổ chức chính trị - xã hội ở Trung ương, Ủy ban Mặt trận Tổ quốc và các tổ chức chính trị - xã hội cấp tỉnh quyết định việc thuê chuyên gia thẩm định, chuyên gia tư vấn độc lập nhưng phải có hợp đồng công việc, có sản phẩm chất lượng được Thủ trưởng đơn vị phê duyệt, số lượng chuyên gia do cơ quan chủ trì quyết định, nhưng tối đa không quá 05 chuyên gia cho nội dung cần thẩm định hoặc tư vấn trong hoạt động giám sát, phản biện xã hội. Mức chi: 1.000.000 đồng/báo cáo kết quả thẩm định hoặc tư vấn.</w:t>
      </w:r>
    </w:p>
    <w:p w:rsidR="004A6901" w:rsidRDefault="004A6901" w:rsidP="004A6901">
      <w:pPr>
        <w:spacing w:before="120" w:after="280" w:afterAutospacing="1"/>
      </w:pPr>
      <w:r>
        <w:rPr>
          <w:lang w:val="vi-VN"/>
        </w:rPr>
        <w:lastRenderedPageBreak/>
        <w:t>4. Chi bồi dưỡng thành viên tham gia đoàn giám sát, phản biện xã hội ngoài chế độ thanh toán công tác phí theo quy định tại Thông tư số 97/2010/TT-BTC: thành viên chính thức của đoàn giám sát: 100.000 đồng/người/ngày; các thành viên khác: 70.000 đồng/người/ngày.</w:t>
      </w:r>
    </w:p>
    <w:p w:rsidR="004A6901" w:rsidRDefault="004A6901" w:rsidP="004A6901">
      <w:pPr>
        <w:spacing w:before="120" w:after="280" w:afterAutospacing="1"/>
      </w:pPr>
      <w:r>
        <w:rPr>
          <w:lang w:val="vi-VN"/>
        </w:rPr>
        <w:t>5. Chi xây dựng báo cáo kết quả giám sát, phản biện xã hội (báo cáo theo định kỳ, báo cáo kết quả giám sát, phản biện xã hội theo chuyên đề được giao); văn bản kiến nghị: 2.000.000 đồng/báo cáo hoặc văn bản (tính cho sản phẩm cuối cùng, bao gồm cả tiếp thu, chỉnh lý).</w:t>
      </w:r>
    </w:p>
    <w:p w:rsidR="004A6901" w:rsidRDefault="004A6901" w:rsidP="004A6901">
      <w:pPr>
        <w:spacing w:before="120" w:after="280" w:afterAutospacing="1"/>
      </w:pPr>
      <w:r>
        <w:rPr>
          <w:lang w:val="vi-VN"/>
        </w:rPr>
        <w:t>6. Các khoản chi khác: Trong phạm vi kinh phí phục vụ công tác giám sát, phản biện xã hội được cơ quan có thẩm quyền giao, căn cứ tình hình thực tế triển khai công việc, Thủ trưởng các cơ quan, đơn vị quyết định việc chi tiêu cho các nội dung công việc thực tế phát sinh, đảm bảo theo đúng các quy định của pháp luật hiện hành và đảm bảo tiết kiệm, hiệu quả.</w:t>
      </w:r>
    </w:p>
    <w:p w:rsidR="004A6901" w:rsidRDefault="004A6901" w:rsidP="004A6901">
      <w:pPr>
        <w:spacing w:before="120" w:after="280" w:afterAutospacing="1"/>
      </w:pPr>
      <w:r>
        <w:rPr>
          <w:b/>
          <w:bCs/>
          <w:lang w:val="vi-VN"/>
        </w:rPr>
        <w:t>Điều 6. Lập dự toán, phân b</w:t>
      </w:r>
      <w:r>
        <w:rPr>
          <w:b/>
          <w:bCs/>
        </w:rPr>
        <w:t xml:space="preserve">ổ </w:t>
      </w:r>
      <w:r>
        <w:rPr>
          <w:b/>
          <w:bCs/>
          <w:lang w:val="vi-VN"/>
        </w:rPr>
        <w:t>và quyết toán k</w:t>
      </w:r>
      <w:r>
        <w:rPr>
          <w:b/>
          <w:bCs/>
        </w:rPr>
        <w:t>i</w:t>
      </w:r>
      <w:r>
        <w:rPr>
          <w:b/>
          <w:bCs/>
          <w:lang w:val="vi-VN"/>
        </w:rPr>
        <w:t>nh phí giám sát, phản biện xã h</w:t>
      </w:r>
      <w:r>
        <w:rPr>
          <w:b/>
          <w:bCs/>
        </w:rPr>
        <w:t>ộ</w:t>
      </w:r>
      <w:r>
        <w:rPr>
          <w:b/>
          <w:bCs/>
          <w:lang w:val="vi-VN"/>
        </w:rPr>
        <w:t>i</w:t>
      </w:r>
    </w:p>
    <w:p w:rsidR="004A6901" w:rsidRDefault="004A6901" w:rsidP="004A6901">
      <w:pPr>
        <w:spacing w:before="120" w:after="280" w:afterAutospacing="1"/>
      </w:pPr>
      <w:r>
        <w:rPr>
          <w:lang w:val="vi-VN"/>
        </w:rPr>
        <w:t>Việc lập, phân bổ, giao dự toán và quyết toán kinh phí giám sát, phản biện xã hội thực hiện theo các quy định hiện hành của Luật Ngân sách nhà nước, Luật K</w:t>
      </w:r>
      <w:r>
        <w:t>ế</w:t>
      </w:r>
      <w:r>
        <w:rPr>
          <w:lang w:val="vi-VN"/>
        </w:rPr>
        <w:t xml:space="preserve"> toán và các văn bản hướng dẫn thi hành, Thông tư này quy định một số điểm cụ thể như sau:</w:t>
      </w:r>
    </w:p>
    <w:p w:rsidR="004A6901" w:rsidRDefault="004A6901" w:rsidP="004A6901">
      <w:pPr>
        <w:spacing w:before="120" w:after="280" w:afterAutospacing="1"/>
      </w:pPr>
      <w:r>
        <w:rPr>
          <w:lang w:val="vi-VN"/>
        </w:rPr>
        <w:t>1. Lập dự toán:</w:t>
      </w:r>
    </w:p>
    <w:p w:rsidR="004A6901" w:rsidRDefault="004A6901" w:rsidP="004A6901">
      <w:pPr>
        <w:spacing w:before="120" w:after="280" w:afterAutospacing="1"/>
      </w:pPr>
      <w:r>
        <w:rPr>
          <w:lang w:val="vi-VN"/>
        </w:rPr>
        <w:t>a) Đối với Ủy ban Trung ương Mặt trận Tổ quốc Việt Nam và các tổ chức - chính trị - xã hội Trung ương:</w:t>
      </w:r>
    </w:p>
    <w:p w:rsidR="004A6901" w:rsidRDefault="004A6901" w:rsidP="004A6901">
      <w:pPr>
        <w:spacing w:before="120" w:after="280" w:afterAutospacing="1"/>
      </w:pPr>
      <w:r>
        <w:rPr>
          <w:lang w:val="vi-VN"/>
        </w:rPr>
        <w:t>Căn cứ chương trình hoạt động giám sát, phản biện xã hội năm kế hoạch, chế độ chi tiêu hiện hành và quy định tại Thông tư này, Ủy ban Trung ương Mặt trận Tổ quốc Việt Nam và các tổ chức chính trị - xã hội Trung ương xây dựng dự toán kinh phí đảm bảo hoạt động công tác giám sát, phản biện xã hội và tổng hợp trong dự toán chi thường xuyên của cơ quan đơn vị gửi Bộ Tài chính để báo cáo cấp có thẩm quyền quyết định.</w:t>
      </w:r>
    </w:p>
    <w:p w:rsidR="004A6901" w:rsidRDefault="004A6901" w:rsidP="004A6901">
      <w:pPr>
        <w:spacing w:before="120" w:after="280" w:afterAutospacing="1"/>
      </w:pPr>
      <w:r>
        <w:rPr>
          <w:lang w:val="vi-VN"/>
        </w:rPr>
        <w:t>b) Đối với Ủy ban Mặt trận Tổ quốc Việt Nam và các tổ chức chính trị - xã hội các cấp ở địa phương:</w:t>
      </w:r>
    </w:p>
    <w:p w:rsidR="004A6901" w:rsidRDefault="004A6901" w:rsidP="004A6901">
      <w:pPr>
        <w:spacing w:before="120" w:after="280" w:afterAutospacing="1"/>
      </w:pPr>
      <w:r>
        <w:rPr>
          <w:lang w:val="vi-VN"/>
        </w:rPr>
        <w:t>Căn cứ chương trình hoạt động giám sát, phản biện xã hội năm kế hoạch, chế độ chi tiêu hiện hành và quy định tại Thông tư này, Ủy ban Mặt trận Tổ quốc và các tổ chức chính trị - xã hội các cấp xây dựng dự toán kinh phí đảm bảo hoạt động giám sát, phản biện xã hội và tổng hợp trong dự toán chi thường xuyên của cơ quan đơn vị gửi cơ quan tài chính cùng cấp để thẩm định, báo cáo cấp có thẩm quyền quyết định.</w:t>
      </w:r>
    </w:p>
    <w:p w:rsidR="004A6901" w:rsidRDefault="004A6901" w:rsidP="004A6901">
      <w:pPr>
        <w:spacing w:before="120" w:after="280" w:afterAutospacing="1"/>
      </w:pPr>
      <w:r>
        <w:rPr>
          <w:lang w:val="vi-VN"/>
        </w:rPr>
        <w:t>2. Phân bổ, giao dự toán và quyết toán kinh phí giám sát, phản biện xã hội:</w:t>
      </w:r>
    </w:p>
    <w:p w:rsidR="004A6901" w:rsidRDefault="004A6901" w:rsidP="004A6901">
      <w:pPr>
        <w:spacing w:before="120" w:after="280" w:afterAutospacing="1"/>
      </w:pPr>
      <w:r>
        <w:rPr>
          <w:lang w:val="vi-VN"/>
        </w:rPr>
        <w:t>Dự toán kinh phí đảm bảo hoạt động giám sát, phản biện xã hội được giao trong dự toán chi thường xuyên ngân sách nhà nước hàng năm của Ủy ban Mặt trận Tổ quốc Việt Nam, tổ chức chính trị - xã hội các cấp.</w:t>
      </w:r>
    </w:p>
    <w:p w:rsidR="004A6901" w:rsidRDefault="004A6901" w:rsidP="004A6901">
      <w:pPr>
        <w:spacing w:before="120" w:after="280" w:afterAutospacing="1"/>
      </w:pPr>
      <w:r>
        <w:rPr>
          <w:lang w:val="vi-VN"/>
        </w:rPr>
        <w:t>Căn cứ số kinh phí được giao, Ủy ban Mặt trận Tổ quốc Việt Nam, tổ chức chính trị - xã hội các cấp phân bổ kinh phí để thực hiện nhiệm vụ giám sát, phản biện xã hội.</w:t>
      </w:r>
    </w:p>
    <w:p w:rsidR="004A6901" w:rsidRDefault="004A6901" w:rsidP="004A6901">
      <w:pPr>
        <w:spacing w:before="120" w:after="280" w:afterAutospacing="1"/>
      </w:pPr>
      <w:r>
        <w:rPr>
          <w:lang w:val="vi-VN"/>
        </w:rPr>
        <w:t>3. Việc quyết toán kinh phí giám sát, phản biện xã hội theo quy định của Luật Ngân sách nhà nước, Luật Kế toán và các văn bản hướng dẫn.</w:t>
      </w:r>
    </w:p>
    <w:p w:rsidR="004A6901" w:rsidRDefault="004A6901" w:rsidP="004A6901">
      <w:pPr>
        <w:spacing w:before="120" w:after="280" w:afterAutospacing="1"/>
      </w:pPr>
      <w:r>
        <w:rPr>
          <w:b/>
          <w:bCs/>
          <w:lang w:val="vi-VN"/>
        </w:rPr>
        <w:t xml:space="preserve">Điều 7. Tổ chức thực hiện </w:t>
      </w:r>
    </w:p>
    <w:p w:rsidR="004A6901" w:rsidRDefault="004A6901" w:rsidP="004A6901">
      <w:pPr>
        <w:spacing w:before="120" w:after="280" w:afterAutospacing="1"/>
      </w:pPr>
      <w:r>
        <w:rPr>
          <w:lang w:val="vi-VN"/>
        </w:rPr>
        <w:lastRenderedPageBreak/>
        <w:t>1. Mức chi quy định tại Điều 5 Thông tư là mức chi tối đa làm căn cứ để Ủy ban Trung ương Mặt trận Tổ quốc Việt Nam và các tổ chức chính trị - xã hội Trung ương lập dự toán chi hoạt động giám sát, phản biện xã hội. Ủy ban Trung ương Mặt trận Tổ quốc Việt Nam và các tổ chức chính trị - xã hội Trung ương quy định mức chi cụ thể để thực hiện chi tiêu cho phù hợp trong phạm vi dự toán chi ngân sách đã được cấp có thẩm quyền giao.</w:t>
      </w:r>
    </w:p>
    <w:p w:rsidR="004A6901" w:rsidRDefault="004A6901" w:rsidP="004A6901">
      <w:pPr>
        <w:spacing w:before="120" w:after="280" w:afterAutospacing="1"/>
      </w:pPr>
      <w:r>
        <w:rPr>
          <w:lang w:val="vi-VN"/>
        </w:rPr>
        <w:t>2. Căn cứ tình hình thực tế tại địa phương và khả năng cân đối ngân sách địa phương, Ủy ban nhân dân tỉnh, thành phố trực thuộc Trung ương trình Hội đồng nhân dân cùng cấp quyết định nội dung, mức chi cụ thể cho phù hợp nhưng t</w:t>
      </w:r>
      <w:r>
        <w:t>ố</w:t>
      </w:r>
      <w:r>
        <w:rPr>
          <w:lang w:val="vi-VN"/>
        </w:rPr>
        <w:t>i đa không vượt quá mức t</w:t>
      </w:r>
      <w:r>
        <w:t>ố</w:t>
      </w:r>
      <w:r>
        <w:rPr>
          <w:lang w:val="vi-VN"/>
        </w:rPr>
        <w:t>i đa quy định tại Điều 5 Thông tư này. Trường hợp cần thiết do yêu cầu công việc, Ủy ban nhân dân tỉnh, thành phố trực thuộc Trung ương trình Hội đồng nhân dân cùng cấp quyết định mức chi cao hơn nhưng không vượt quá 20% mức chi quy định tại Điều 5 Thông tư này.</w:t>
      </w:r>
    </w:p>
    <w:p w:rsidR="004A6901" w:rsidRDefault="004A6901" w:rsidP="004A6901">
      <w:pPr>
        <w:spacing w:before="120" w:after="280" w:afterAutospacing="1"/>
      </w:pPr>
      <w:r>
        <w:rPr>
          <w:lang w:val="vi-VN"/>
        </w:rPr>
        <w:t>3. Trường hợp Ủy ban Trung ương Mặt trận Tổ quốc Việt Nam và các tổ chức chính trị - xã hội Trung ương, Hội đồng nhân dân tỉnh, thành phố trực thuộc Trung ương chưa ban hành văn bản quy định mức chi cụ thể thì Thủ trưởng cơ quan, đơn vị được giao nhiệm vụ giám sát, phản biện xã hội quyết định mức chi nhưng không vượt quá mức chi tối đa được quy định tại Điều 5 Thông tư này, đảm bảo tiết kiệm, hiệu quả trong phạm vi dự toán ngân sách đã được cấp có thẩm quyền giao.</w:t>
      </w:r>
    </w:p>
    <w:p w:rsidR="004A6901" w:rsidRDefault="004A6901" w:rsidP="004A6901">
      <w:pPr>
        <w:spacing w:before="120" w:after="280" w:afterAutospacing="1"/>
      </w:pPr>
      <w:r>
        <w:rPr>
          <w:b/>
          <w:bCs/>
          <w:lang w:val="vi-VN"/>
        </w:rPr>
        <w:t xml:space="preserve">Điều 8. Điều khoản thi hành </w:t>
      </w:r>
    </w:p>
    <w:p w:rsidR="004A6901" w:rsidRDefault="004A6901" w:rsidP="004A6901">
      <w:pPr>
        <w:spacing w:before="120" w:after="280" w:afterAutospacing="1"/>
      </w:pPr>
      <w:r>
        <w:rPr>
          <w:lang w:val="vi-VN"/>
        </w:rPr>
        <w:t>1. Thông tư này có hiệu lực thi hành kể từ ngày 15 tháng 02 năm 2017.</w:t>
      </w:r>
    </w:p>
    <w:p w:rsidR="004A6901" w:rsidRDefault="004A6901" w:rsidP="004A6901">
      <w:pPr>
        <w:spacing w:before="120" w:after="280" w:afterAutospacing="1"/>
      </w:pPr>
      <w:r>
        <w:rPr>
          <w:lang w:val="vi-VN"/>
        </w:rPr>
        <w:t>2. Trong quá trình thực hiện nếu có khó khăn, vướng mắc, đề nghị Ủy ban Mặt trận Tổ quốc Việt Nam các cấp, các tổ chức chính trị - xã hội, các tổ chức, đơn vị có liên quan kịp thời phản ánh về Bộ Tài chính để nghiên cứu sửa đổi, bổ sung cho phù hợp./.</w:t>
      </w:r>
    </w:p>
    <w:p w:rsidR="004A6901" w:rsidRDefault="004A6901" w:rsidP="004A6901">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A6901" w:rsidTr="00556AB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after="280" w:afterAutospacing="1"/>
            </w:pPr>
            <w:r>
              <w:t> </w:t>
            </w:r>
          </w:p>
          <w:p w:rsidR="004A6901" w:rsidRDefault="004A6901" w:rsidP="00556AB5">
            <w:pPr>
              <w:spacing w:before="120"/>
            </w:pPr>
            <w:r>
              <w:rPr>
                <w:b/>
                <w:bCs/>
                <w:i/>
                <w:iCs/>
                <w:lang w:val="vi-VN"/>
              </w:rPr>
              <w:t>Nơi nhận:</w:t>
            </w:r>
            <w:r>
              <w:rPr>
                <w:b/>
                <w:bCs/>
                <w:i/>
                <w:iCs/>
              </w:rPr>
              <w:br/>
            </w:r>
            <w:r>
              <w:rPr>
                <w:sz w:val="16"/>
                <w:lang w:val="vi-VN"/>
              </w:rPr>
              <w:t>- Văn phòng Trung ương và các Ban của Đ</w:t>
            </w:r>
            <w:r>
              <w:rPr>
                <w:sz w:val="16"/>
              </w:rPr>
              <w:t>ả</w:t>
            </w:r>
            <w:r>
              <w:rPr>
                <w:sz w:val="16"/>
                <w:lang w:val="vi-VN"/>
              </w:rPr>
              <w:t>ng;</w:t>
            </w:r>
            <w:r>
              <w:rPr>
                <w:sz w:val="16"/>
                <w:lang w:val="vi-VN"/>
              </w:rPr>
              <w:br/>
              <w:t>- Văn phòng Quốc hội;</w:t>
            </w:r>
            <w:r>
              <w:rPr>
                <w:sz w:val="16"/>
                <w:lang w:val="vi-VN"/>
              </w:rPr>
              <w:br/>
              <w:t>- Văn phòng Chủ tịch nước;</w:t>
            </w:r>
            <w:r>
              <w:rPr>
                <w:sz w:val="16"/>
                <w:lang w:val="vi-VN"/>
              </w:rPr>
              <w:br/>
              <w:t>- Văn phòng Chính phủ;</w:t>
            </w:r>
            <w:r>
              <w:rPr>
                <w:sz w:val="16"/>
                <w:lang w:val="vi-VN"/>
              </w:rPr>
              <w:br/>
              <w:t>- Viện Kiểm sát nhân dân tối cao;</w:t>
            </w:r>
            <w:r>
              <w:rPr>
                <w:sz w:val="16"/>
                <w:lang w:val="vi-VN"/>
              </w:rPr>
              <w:br/>
              <w:t>- Toà án nhân dân tối cao;</w:t>
            </w:r>
            <w:r>
              <w:rPr>
                <w:sz w:val="16"/>
                <w:lang w:val="vi-VN"/>
              </w:rPr>
              <w:br/>
              <w:t>- Kiểm toán Nhà nước;</w:t>
            </w:r>
            <w:r>
              <w:rPr>
                <w:sz w:val="16"/>
                <w:lang w:val="vi-VN"/>
              </w:rPr>
              <w:br/>
              <w:t>- Các Bộ, cơ quan ngang Bộ, cơ quan thuộc Chính ph</w:t>
            </w:r>
            <w:r>
              <w:rPr>
                <w:sz w:val="16"/>
              </w:rPr>
              <w:t>ủ;</w:t>
            </w:r>
            <w:r>
              <w:rPr>
                <w:sz w:val="16"/>
              </w:rPr>
              <w:br/>
            </w:r>
            <w:r>
              <w:rPr>
                <w:sz w:val="16"/>
                <w:lang w:val="vi-VN"/>
              </w:rPr>
              <w:t>- UBND các t</w:t>
            </w:r>
            <w:r>
              <w:rPr>
                <w:sz w:val="16"/>
              </w:rPr>
              <w:t>ỉ</w:t>
            </w:r>
            <w:r>
              <w:rPr>
                <w:sz w:val="16"/>
                <w:lang w:val="vi-VN"/>
              </w:rPr>
              <w:t>nh, thành phố trực thuộc TW;</w:t>
            </w:r>
            <w:r>
              <w:rPr>
                <w:sz w:val="16"/>
                <w:lang w:val="vi-VN"/>
              </w:rPr>
              <w:br/>
              <w:t>- Cơ quan Trung ương các tổ chức chính trị - xã hội;</w:t>
            </w:r>
            <w:r>
              <w:rPr>
                <w:sz w:val="16"/>
                <w:lang w:val="vi-VN"/>
              </w:rPr>
              <w:br/>
              <w:t>- Sở Tài chính, KBNN các tỉnh, thành phố trực thuộc TW;</w:t>
            </w:r>
            <w:r>
              <w:rPr>
                <w:sz w:val="16"/>
                <w:lang w:val="vi-VN"/>
              </w:rPr>
              <w:br/>
              <w:t>- Cục Kiểm tra văn bản - Bộ Tư pháp;</w:t>
            </w:r>
            <w:r>
              <w:rPr>
                <w:sz w:val="16"/>
                <w:lang w:val="vi-VN"/>
              </w:rPr>
              <w:br/>
              <w:t>- Cổng TTĐT Chính phủ;</w:t>
            </w:r>
            <w:r>
              <w:rPr>
                <w:sz w:val="16"/>
                <w:lang w:val="vi-VN"/>
              </w:rPr>
              <w:br/>
              <w:t>- Cổng TTĐT Bộ Tài chính;</w:t>
            </w:r>
            <w:r>
              <w:rPr>
                <w:sz w:val="16"/>
                <w:lang w:val="vi-VN"/>
              </w:rPr>
              <w:br/>
              <w:t>- Các đơn vị thuộc BTC;</w:t>
            </w:r>
            <w:r>
              <w:rPr>
                <w:sz w:val="16"/>
                <w:lang w:val="vi-VN"/>
              </w:rPr>
              <w:br/>
              <w:t>- Lưu: VT, HCSN (400b).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6901" w:rsidRDefault="004A6901" w:rsidP="00556AB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Trần Xuân Hà</w:t>
            </w:r>
          </w:p>
        </w:tc>
      </w:tr>
    </w:tbl>
    <w:p w:rsidR="00260181" w:rsidRDefault="00260181"/>
    <w:sectPr w:rsidR="00260181" w:rsidSect="007A61FA">
      <w:pgSz w:w="11907" w:h="16840" w:code="9"/>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30"/>
  <w:displayHorizontalDrawingGridEvery w:val="2"/>
  <w:displayVerticalDrawingGridEvery w:val="2"/>
  <w:characterSpacingControl w:val="doNotCompress"/>
  <w:compat/>
  <w:rsids>
    <w:rsidRoot w:val="004A6901"/>
    <w:rsid w:val="00080582"/>
    <w:rsid w:val="000F33AF"/>
    <w:rsid w:val="001A278A"/>
    <w:rsid w:val="00260181"/>
    <w:rsid w:val="004A6901"/>
    <w:rsid w:val="00735ECA"/>
    <w:rsid w:val="007A61FA"/>
    <w:rsid w:val="009C0BA1"/>
    <w:rsid w:val="00B00317"/>
    <w:rsid w:val="00D268A9"/>
    <w:rsid w:val="00DE6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01"/>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69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gtinphapluat.com/blog/t%E1%BB%95ng-h%E1%BB%A3p-van-b%E1%BA%A3n-lu%E1%BA%ADt/tai-chinh-ngan-sach/luat-ngan-sach-nha-nuoc-2015/" TargetMode="External"/><Relationship Id="rId4" Type="http://schemas.openxmlformats.org/officeDocument/2006/relationships/hyperlink" Target="http://trangtinphapluat.com/?s=Lu%E1%BA%ADt+M%E1%BA%B7t+tr%E1%BA%ADn+T%E1%BB%95+qu%E1%BB%91c+Vi%E1%BB%87t+Nam+n%C4%83m+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2017-02-22T01:06:00Z</dcterms:created>
  <dcterms:modified xsi:type="dcterms:W3CDTF">2017-02-22T01:07:00Z</dcterms:modified>
</cp:coreProperties>
</file>